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0" w:hanging="0"/>
        <w:jc w:val="right"/>
        <w:rPr/>
      </w:pPr>
      <w:r>
        <w:rPr/>
      </w:r>
    </w:p>
    <w:p>
      <w:pPr>
        <w:pStyle w:val="LOnormal"/>
        <w:ind w:left="0" w:hanging="0"/>
        <w:jc w:val="right"/>
        <w:rPr/>
      </w:pPr>
      <w:r>
        <w:rPr/>
        <w:t>Informacja prasowa, 27.02.2020 r.</w:t>
        <w:tab/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rFonts w:ascii="Liberation Serif" w:hAnsi="Liberation Serif" w:eastAsia="Liberation Serif" w:cs="Liberation Serif"/>
          <w:b/>
          <w:b/>
          <w:color w:val="auto"/>
          <w:kern w:val="0"/>
          <w:sz w:val="26"/>
          <w:szCs w:val="26"/>
          <w:lang w:val="pl-PL" w:eastAsia="zh-CN" w:bidi="hi-IN"/>
        </w:rPr>
      </w:pPr>
      <w:bookmarkStart w:id="0" w:name="__DdeLink__1754_4142969315"/>
      <w:bookmarkStart w:id="1" w:name="__DdeLink__1815_2215804830"/>
      <w:r>
        <w:rPr>
          <w:rFonts w:eastAsia="Liberation Serif" w:cs="Liberation Serif"/>
          <w:b/>
          <w:color w:val="auto"/>
          <w:kern w:val="0"/>
          <w:sz w:val="26"/>
          <w:szCs w:val="26"/>
          <w:lang w:val="pl-PL" w:eastAsia="zh-CN" w:bidi="hi-IN"/>
        </w:rPr>
        <w:t>C</w:t>
      </w:r>
      <w:bookmarkEnd w:id="1"/>
      <w:r>
        <w:rPr>
          <w:rFonts w:eastAsia="Liberation Serif" w:cs="Liberation Serif"/>
          <w:b/>
          <w:color w:val="auto"/>
          <w:kern w:val="0"/>
          <w:sz w:val="26"/>
          <w:szCs w:val="26"/>
          <w:lang w:val="pl-PL" w:eastAsia="zh-CN" w:bidi="hi-IN"/>
        </w:rPr>
        <w:t>o piąty Polak nie pilnuje swoich finansów</w:t>
      </w:r>
      <w:bookmarkEnd w:id="0"/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</w:rPr>
        <w:t>Ponad 20% Polaków nie monitoruje swoich finansów i wydatków. Z kolei blisko co trzeci z nas robi to codziennie – najczęściej są to osoby, których dochód netto na gospodarstwo domowe wynosi powyżej 5 tys. zł – wynika z badania przeprowadzonego przez Panel Ariadna dla ikalkulator.pl. Co piąty z nas nie oszczędza, a przeszło co trzeci deklaruje, że zaczął to robić, gdy tylko zarobił pierwsze samodzielne pieniądze.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>
          <w:b w:val="false"/>
        </w:rPr>
        <w:t>Oszczędny jak Polak?</w:t>
      </w:r>
      <w:r>
        <w:rPr>
          <w:b/>
        </w:rPr>
        <w:t xml:space="preserve"> </w:t>
      </w:r>
      <w:r>
        <w:rPr>
          <w:b w:val="false"/>
        </w:rPr>
        <w:t xml:space="preserve">Z badania przeprowadzonego przez Panel Ariadna na zlecenie </w:t>
      </w:r>
      <w:hyperlink r:id="rId2">
        <w:r>
          <w:rPr>
            <w:rStyle w:val="ListLabel1"/>
            <w:b w:val="false"/>
            <w:color w:val="1155CC"/>
            <w:u w:val="single"/>
          </w:rPr>
          <w:t>ikalkulator.pl</w:t>
        </w:r>
      </w:hyperlink>
      <w:r>
        <w:rPr>
          <w:b w:val="false"/>
        </w:rPr>
        <w:t xml:space="preserve"> wynika, że coraz więcej z nas dba o zabezpieczenie finansowe w postaci oszczędności. Co ważne Polacy zazwyczaj zdają sobie sprawę, gdzie mogą ich szukać w codziennym życiu, a o odkładaniu zarobionych pieniędzy myślą coraz młodsze osoby i realizują to, gdy tylko zdobędą pierwszą pracę zarobkową. </w:t>
      </w:r>
    </w:p>
    <w:p>
      <w:pPr>
        <w:pStyle w:val="LOnormal"/>
        <w:rPr>
          <w:b w:val="false"/>
          <w:b w:val="false"/>
        </w:rPr>
      </w:pPr>
      <w:r>
        <w:rPr>
          <w:b w:val="false"/>
        </w:rPr>
      </w:r>
    </w:p>
    <w:p>
      <w:pPr>
        <w:pStyle w:val="LOnormal"/>
        <w:rPr>
          <w:b/>
          <w:b/>
        </w:rPr>
      </w:pPr>
      <w:r>
        <w:rPr>
          <w:b/>
        </w:rPr>
        <w:t>Finanse pod kontrolą?</w:t>
      </w:r>
    </w:p>
    <w:p>
      <w:pPr>
        <w:pStyle w:val="LOnormal"/>
        <w:rPr>
          <w:b w:val="false"/>
          <w:b w:val="false"/>
        </w:rPr>
      </w:pPr>
      <w:r>
        <w:rPr>
          <w:b w:val="false"/>
        </w:rPr>
      </w:r>
    </w:p>
    <w:p>
      <w:pPr>
        <w:pStyle w:val="LOnormal"/>
        <w:rPr/>
      </w:pPr>
      <w:r>
        <w:rPr>
          <w:b w:val="false"/>
        </w:rPr>
        <w:t>Z badania p</w:t>
      </w:r>
      <w:r>
        <w:rPr>
          <w:b w:val="false"/>
          <w:sz w:val="24"/>
          <w:szCs w:val="24"/>
        </w:rPr>
        <w:t>rzeprowadzonego przez Panel Ariadna dla</w:t>
      </w:r>
      <w:r>
        <w:rPr>
          <w:b w:val="false"/>
        </w:rPr>
        <w:t xml:space="preserve"> ikalkulator.pl wynika, że blisko co trzeci Polak codziennie sprawdza stan </w:t>
      </w:r>
      <w:hyperlink r:id="rId3">
        <w:r>
          <w:rPr>
            <w:rStyle w:val="ListLabel1"/>
            <w:b w:val="false"/>
            <w:color w:val="1155CC"/>
            <w:u w:val="single"/>
          </w:rPr>
          <w:t>swojego konta bankowego</w:t>
        </w:r>
      </w:hyperlink>
      <w:r>
        <w:rPr>
          <w:b w:val="false"/>
        </w:rPr>
        <w:t xml:space="preserve"> i monitoruje wydatki. </w:t>
      </w:r>
      <w:r>
        <w:rPr>
          <w:b w:val="false"/>
          <w:sz w:val="24"/>
          <w:szCs w:val="24"/>
        </w:rPr>
        <w:t xml:space="preserve">Co ciekawe, najczęściej robią tak osoby, których dochód netto na gospodarstwo domowe jest największy i wynosi powyżej 5 tys. zł – odpowiedziało tak 38 proc. ankietowanych z tej grupy. </w:t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/>
      </w:pPr>
      <w:r>
        <w:rPr>
          <w:b w:val="false"/>
          <w:sz w:val="24"/>
          <w:szCs w:val="24"/>
        </w:rPr>
        <w:t>Nieco mniej respondentów – 25% – wskazało, że sprawdza konto i monitoruje wydatki tylko raz w tygodniu. Z kolei 23% ankietowanych odpowiedziało, że robi to kilka razy w miesiącu.</w:t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/>
      </w:pPr>
      <w:r>
        <w:rPr>
          <w:b w:val="false"/>
          <w:sz w:val="24"/>
          <w:szCs w:val="24"/>
        </w:rPr>
        <w:t>Badanie pokazało także niepokojący fakt – co piąty Polak nie pilnuje swoich finansów: 15% z nas wyznaje zasadę „carpe diem” i zagląda na swoje konto bankowe i monitoruje wydatki tylko, jak im</w:t>
      </w:r>
      <w:r>
        <w:rPr>
          <w:b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się przypomni, a 6% – w ogóle tego nie robi! Łatwo przypuszczać, gdzie może zaprowadzić taka postawa konsumentów. Może to świadczyć nie tylko o dość swobodnym podejściu do tematu finansów, ale także braku zarządzania budżetem domowym oraz brakiem jakichkolwiek oszczędności. Wielu Polaków nadal żyje od wypłaty do wypłaty, rosną też ich długi – łączna kwota zaległych zobowiązań zgromadzonych w Rejestrze Dłużników BIG InfoMonitor oraz w BIK na koniec września 2019 r. wyniosła 78,7 mld zł.</w:t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9525</wp:posOffset>
            </wp:positionH>
            <wp:positionV relativeFrom="paragraph">
              <wp:posOffset>112395</wp:posOffset>
            </wp:positionV>
            <wp:extent cx="3641090" cy="2084070"/>
            <wp:effectExtent l="0" t="0" r="0" b="0"/>
            <wp:wrapSquare wrapText="bothSides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jc w:val="right"/>
        <w:rPr>
          <w:b w:val="false"/>
          <w:b w:val="false"/>
          <w:i/>
          <w:i/>
          <w:sz w:val="18"/>
          <w:szCs w:val="18"/>
        </w:rPr>
      </w:pPr>
      <w:r>
        <w:rPr>
          <w:b w:val="false"/>
          <w:i/>
          <w:sz w:val="18"/>
          <w:szCs w:val="18"/>
        </w:rPr>
      </w:r>
    </w:p>
    <w:p>
      <w:pPr>
        <w:pStyle w:val="LOnormal"/>
        <w:jc w:val="right"/>
        <w:rPr>
          <w:b w:val="false"/>
          <w:b w:val="false"/>
          <w:i/>
          <w:i/>
          <w:sz w:val="18"/>
          <w:szCs w:val="18"/>
        </w:rPr>
      </w:pPr>
      <w:r>
        <w:rPr>
          <w:b w:val="false"/>
          <w:i/>
          <w:sz w:val="18"/>
          <w:szCs w:val="18"/>
        </w:rPr>
      </w:r>
    </w:p>
    <w:p>
      <w:pPr>
        <w:pStyle w:val="LOnormal"/>
        <w:jc w:val="right"/>
        <w:rPr>
          <w:b w:val="false"/>
          <w:b w:val="false"/>
          <w:i/>
          <w:i/>
          <w:sz w:val="18"/>
          <w:szCs w:val="18"/>
        </w:rPr>
      </w:pPr>
      <w:r>
        <w:rPr>
          <w:b w:val="false"/>
          <w:i/>
          <w:sz w:val="18"/>
          <w:szCs w:val="18"/>
        </w:rPr>
      </w:r>
    </w:p>
    <w:p>
      <w:pPr>
        <w:pStyle w:val="LOnormal"/>
        <w:jc w:val="right"/>
        <w:rPr>
          <w:b w:val="false"/>
          <w:b w:val="false"/>
          <w:i/>
          <w:i/>
          <w:sz w:val="18"/>
          <w:szCs w:val="18"/>
        </w:rPr>
      </w:pPr>
      <w:r>
        <w:rPr>
          <w:b w:val="false"/>
          <w:i/>
          <w:sz w:val="18"/>
          <w:szCs w:val="18"/>
        </w:rPr>
      </w:r>
    </w:p>
    <w:p>
      <w:pPr>
        <w:pStyle w:val="LOnormal"/>
        <w:jc w:val="right"/>
        <w:rPr>
          <w:b w:val="false"/>
          <w:b w:val="false"/>
          <w:i/>
          <w:i/>
          <w:sz w:val="18"/>
          <w:szCs w:val="18"/>
        </w:rPr>
      </w:pPr>
      <w:r>
        <w:rPr>
          <w:b w:val="false"/>
          <w:i/>
          <w:sz w:val="18"/>
          <w:szCs w:val="18"/>
        </w:rPr>
      </w:r>
    </w:p>
    <w:p>
      <w:pPr>
        <w:pStyle w:val="LOnormal"/>
        <w:jc w:val="right"/>
        <w:rPr/>
      </w:pPr>
      <w:r>
        <w:rPr>
          <w:b w:val="false"/>
          <w:i/>
          <w:sz w:val="18"/>
          <w:szCs w:val="18"/>
        </w:rPr>
        <w:t>Źródło: Panel Ariadna dla ikalkulator.pl</w:t>
      </w:r>
    </w:p>
    <w:p>
      <w:pPr>
        <w:pStyle w:val="LOnormal"/>
        <w:rPr/>
      </w:pPr>
      <w:r>
        <w:rPr>
          <w:b/>
          <w:sz w:val="24"/>
          <w:szCs w:val="24"/>
        </w:rPr>
        <w:t>Budżet Polaka</w:t>
      </w:r>
    </w:p>
    <w:p>
      <w:pPr>
        <w:pStyle w:val="LOnormal"/>
        <w:rPr/>
      </w:pPr>
      <w:r>
        <w:rPr>
          <w:b w:val="false"/>
          <w:sz w:val="24"/>
          <w:szCs w:val="24"/>
        </w:rPr>
        <w:t xml:space="preserve">Zapytaliśmy też Polaków, które kategorie wydatków zajmują w ich budżetach najwięcej miejsca. Jak wynika z badania ikalkulator.pl, to na zakupy spożywcze i chemiczne wydajemy najwięcej pieniędzy. Aż 52% respondentów wskazało, że ta kategoria jest najbardziej obciążająca dla ich portfela i przeznaczają na nią „dużą” lub „bardzo dużą” część budżetu. Na drugim miejscu są rachunki za prąd, wodę, czynsz itp. (37% wskazań „dużą” i „bardzo dużą” część budżetu), a na trzecim wydatki mieszczące się w kategorii finanse – wszelkie raty kredytów, pożyczek, ubezpieczenia itp. (24% wskazań „dużą” i „bardzo dużą” część budżetu). </w:t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/>
      </w:pPr>
      <w:r>
        <w:rPr>
          <w:b/>
          <w:sz w:val="24"/>
          <w:szCs w:val="24"/>
        </w:rPr>
        <w:t>Oszczędzamy w młodym wieku</w:t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/>
      </w:pPr>
      <w:r>
        <w:rPr>
          <w:b w:val="false"/>
          <w:sz w:val="24"/>
          <w:szCs w:val="24"/>
        </w:rPr>
        <w:t xml:space="preserve">A jak jest z naszym oszczędzaniem? Badanie ikalkulator.pl pokazuje, że przeszło co trzeci ankietowany deklaruje, że zaczął odkładać, gdy poszedł do pracy i zarobił pierwsze samodzielne pieniądze. Zazwyczaj, ten czas przypada na wiek 20-26, więc jeśli już, to zaczynamy oszczędzać w młodym wieku. Zauważalna jest też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rosnąca świadomość potrzeby oszczędzania u coraz młodszych roczników. Aż 51% ankietowanych z grupy 18-24 odpowiedziało, że zaczęło oszczędzać, gdy zarobiło pierwsze pieniądze. Dla porównania w grupie 25-34 lata takiej odpowiedzi udzieliło 40% osób, a w grupie 35-44 lata i 44-54 lata – po 32%. </w:t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/>
      </w:pPr>
      <w:r>
        <w:rPr>
          <w:b w:val="false"/>
          <w:sz w:val="24"/>
          <w:szCs w:val="24"/>
        </w:rPr>
        <w:t xml:space="preserve">Jednak wyniki badania ikalkulator.pl pokazują także, że nie jest aż tak optymistycznie. Co piąty Polak jeszcze nie zaczął oszczędzać. I o ile zrozumiałym może być fakt, że w najmłodszej grupie badanych odpowiedziało tak 27% ankietowanych, to niepokojąco wyglądają dane w grupie 35-44 i 44-54 – gdzie takiej odpowiedzi udzieliło po 22% ankietowanych. </w:t>
      </w:r>
    </w:p>
    <w:p>
      <w:pPr>
        <w:pStyle w:val="LOnormal"/>
        <w:ind w:left="720" w:hanging="0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255905</wp:posOffset>
            </wp:positionH>
            <wp:positionV relativeFrom="paragraph">
              <wp:posOffset>635</wp:posOffset>
            </wp:positionV>
            <wp:extent cx="5608320" cy="2606040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Źródło: Panel Ariadna dla ikalkulator.pl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  <w:sz w:val="24"/>
          <w:szCs w:val="24"/>
        </w:rPr>
        <w:t>Tu szukamy oszczędności</w:t>
      </w:r>
    </w:p>
    <w:p>
      <w:pPr>
        <w:pStyle w:val="LOnormal"/>
        <w:rPr/>
      </w:pPr>
      <w:r>
        <w:rPr>
          <w:b w:val="false"/>
          <w:sz w:val="24"/>
          <w:szCs w:val="24"/>
        </w:rPr>
        <w:t xml:space="preserve">Zapytani o to, gdzie szukać oszczędności, Polacy najczęściej wskazywali na nałogi typu papierosy, alkohol czy słodycze – najwięcej wskazań „zdecydowanie tak” i „tak” spośród wszystkich kategorii (67%). W dalszej kolejności znalazło się: ograniczenie jedzenia na mieście (58%) oraz robienie przemyślanych zakupów spożywczych (57%). Według ankietowanych najtrudniej </w:t>
      </w:r>
      <w:hyperlink r:id="rId6">
        <w:r>
          <w:rPr>
            <w:rStyle w:val="ListLabel2"/>
            <w:b w:val="false"/>
            <w:color w:val="1155CC"/>
            <w:sz w:val="24"/>
            <w:szCs w:val="24"/>
            <w:u w:val="single"/>
          </w:rPr>
          <w:t>szukać oszczędności</w:t>
        </w:r>
      </w:hyperlink>
      <w:r>
        <w:rPr>
          <w:b w:val="false"/>
          <w:sz w:val="24"/>
          <w:szCs w:val="24"/>
        </w:rPr>
        <w:t xml:space="preserve"> w aktywnych produktach bankowych (konsolidując kredyty, spłacając je na czas, odpowiedzialnie korzystać z karty kredytowej, zamykając konta, których nie używamy), a także obniżając rachunki np. za prąd, </w:t>
      </w:r>
      <w:r>
        <w:rPr/>
        <w:t>wodę,</w:t>
      </w:r>
      <w:r>
        <w:rPr>
          <w:b w:val="false"/>
          <w:sz w:val="24"/>
          <w:szCs w:val="24"/>
        </w:rPr>
        <w:t xml:space="preserve"> poprzez stosowanie odpowiednich nawyków lub zmianę np. dostawcy energii elektrycznej.</w:t>
      </w:r>
    </w:p>
    <w:p>
      <w:pPr>
        <w:pStyle w:val="LOnormal"/>
        <w:rPr>
          <w:rFonts w:ascii="Liberation Serif" w:hAnsi="Liberation Serif" w:eastAsia="Liberation Serif" w:cs="Liberation Serif"/>
          <w:b/>
          <w:b/>
          <w:sz w:val="24"/>
          <w:szCs w:val="24"/>
        </w:rPr>
      </w:pPr>
      <w:r>
        <w:rPr>
          <w:rFonts w:eastAsia="Liberation Serif" w:cs="Liberation Serif"/>
          <w:b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sz w:val="24"/>
          <w:szCs w:val="24"/>
        </w:rPr>
      </w:pPr>
      <w:r>
        <w:rPr>
          <w:rFonts w:eastAsia="Liberation Serif" w:cs="Liberation Serif"/>
          <w:b w:val="false"/>
          <w:sz w:val="24"/>
          <w:szCs w:val="24"/>
        </w:rPr>
      </w:r>
    </w:p>
    <w:p>
      <w:pPr>
        <w:pStyle w:val="LOnormal"/>
        <w:rPr>
          <w:i/>
          <w:i/>
        </w:rPr>
      </w:pPr>
      <w:r>
        <w:rPr>
          <w:b w:val="false"/>
          <w:i/>
          <w:caps w:val="false"/>
          <w:smallCaps w:val="false"/>
          <w:color w:val="222222"/>
          <w:sz w:val="24"/>
          <w:szCs w:val="24"/>
        </w:rPr>
        <w:t xml:space="preserve">Badanie zostało przeprowadzone na ogólnopolskim panelu badawczym Ariadna metodą CAWI.  Próba ogólnopolska losowo-kwotowa N=1055 osób w wieku 18+. </w:t>
      </w:r>
    </w:p>
    <w:p>
      <w:pPr>
        <w:pStyle w:val="LOnormal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color w:val="222222"/>
          <w:sz w:val="24"/>
          <w:szCs w:val="24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color w:val="222222"/>
          <w:sz w:val="24"/>
          <w:szCs w:val="24"/>
        </w:rPr>
      </w:r>
    </w:p>
    <w:p>
      <w:pPr>
        <w:pStyle w:val="LOnormal"/>
        <w:rPr/>
      </w:pPr>
      <w:r>
        <w:rPr/>
      </w:r>
    </w:p>
    <w:sectPr>
      <w:headerReference w:type="default" r:id="rId7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/>
      <w:rPr/>
    </w:pPr>
    <w:r>
      <w:rPr/>
      <w:drawing>
        <wp:inline distT="0" distB="0" distL="0" distR="0">
          <wp:extent cx="2047240" cy="301625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kalkulator.pl/blog/" TargetMode="External"/><Relationship Id="rId3" Type="http://schemas.openxmlformats.org/officeDocument/2006/relationships/hyperlink" Target="https://www.ikalkulator.pl/konta-bankowe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www.ikalkulator.pl/blog/jak-oszczedzac-pieniadze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LibreOffice/6.3.2.2$Windows_X86_64 LibreOffice_project/98b30e735bda24bc04ab42594c85f7fd8be07b9c</Application>
  <Pages>3</Pages>
  <Words>669</Words>
  <Characters>3993</Characters>
  <CharactersWithSpaces>4664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2020-02-27T09:50:39Z</dcterms:modified>
  <cp:revision>3</cp:revision>
  <dc:subject/>
  <dc:title/>
</cp:coreProperties>
</file>