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" w:cs="Times" w:eastAsia="Times" w:hAnsi="Times"/>
          <w:color w:val="ff8d15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ff8d15"/>
          <w:sz w:val="28"/>
          <w:szCs w:val="28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b w:val="1"/>
          <w:color w:val="ff8d15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color w:val="ff8d15"/>
        </w:rPr>
        <w:drawing>
          <wp:inline distB="0" distT="0" distL="0" distR="0">
            <wp:extent cx="5943600" cy="12700"/>
            <wp:effectExtent b="0" l="0" r="0" t="0"/>
            <wp:docPr descr="https://lh6.googleusercontent.com/1U9IUbqQuDjpJuD3hkW9WX3ksqM9aHxVV8jurYKHKNRxyLrX5QcDkRk8QaEwtw_03a6L1A1UIYJ5CI-oCpwHpJsJx57R4Cwr8blTFOd-p-UMNIEMfvntyhFqkclqufIlFthMkL_68ragqB6V6w" id="1" name="image2.png"/>
            <a:graphic>
              <a:graphicData uri="http://schemas.openxmlformats.org/drawingml/2006/picture">
                <pic:pic>
                  <pic:nvPicPr>
                    <pic:cNvPr descr="https://lh6.googleusercontent.com/1U9IUbqQuDjpJuD3hkW9WX3ksqM9aHxVV8jurYKHKNRxyLrX5QcDkRk8QaEwtw_03a6L1A1UIYJ5CI-oCpwHpJsJx57R4Cwr8blTFOd-p-UMNIEMfvntyhFqkclqufIlFthMkL_68ragqB6V6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color w:val="ff8d1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b w:val="1"/>
        </w:rPr>
      </w:pPr>
      <w:r w:rsidDel="00000000" w:rsidR="00000000" w:rsidRPr="00000000">
        <w:rPr>
          <w:b w:val="1"/>
          <w:color w:val="ff8d15"/>
          <w:sz w:val="28"/>
          <w:szCs w:val="28"/>
          <w:rtl w:val="0"/>
        </w:rPr>
        <w:t xml:space="preserve">Dosłowne tłumaczenie i błędne rozumowanie, czyli jak można spalić się na przysłowiach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Przysłowia to sformułowania, obecne w każdym języku, wyrażające jakąś myśl, wskazówkę, czy też poradę. Co więcej, Według Ośrodka Badania Opinii Publicznej, wśród Polaków powszechne jest przekonanie (90%), że są one mądrością narodu. Jednak, mimo że stosujemy przysłowia na co dzień, to nie zawsze robimy to poprawnie… Do jeszcze większych nieporozumień dochodzi, gdy próbujemy je przetłumaczyć obcokrajowcom.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By używać, trzeba rozumieć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Pouczenie, przestroga, morał, ogólna myśl, aforyzm – polskie powiedzenia mają różne cele. Są przekazywane z pokolenia na pokolenie i zawierają wskazówki, jak postępować w życiu, a czasem nawet nakazują pewne działania...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b w:val="1"/>
          <w:i w:val="1"/>
          <w:color w:val="ff0000"/>
        </w:rPr>
      </w:pPr>
      <w:r w:rsidDel="00000000" w:rsidR="00000000" w:rsidRPr="00000000">
        <w:rPr>
          <w:i w:val="1"/>
          <w:rtl w:val="0"/>
        </w:rPr>
        <w:t xml:space="preserve">– Przysłowia to sposób na definiowanie i zrozumienie świata. W tradycyjnych społeczeństwach najistotniejszą treścią życia była praca, dlatego wiele z nich dotyczyło tej części aktywności (np. „chłopa poznasz przy robocie, a pana przy stole”)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mówi  dr Tomasz Marcysiak, socjolog, Wyższa Szkoła Bankowa w Bydgoszczy.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Sens ciężkiej pracy na gospodarstwie był wyjaśniany przez sumienność, którą mierzono ilością wylanego potu i miarą niezmarnowanego czasu. Chłop więc nie musiał się kształcić, kiedy utrwalano mu w świadomości powiedzenia: „baba potrzebuje gospodarza a nie pisarza” i „chłop się rodzi filozofem, a pan się musi uczyć” – </w:t>
      </w:r>
      <w:r w:rsidDel="00000000" w:rsidR="00000000" w:rsidRPr="00000000">
        <w:rPr>
          <w:b w:val="1"/>
          <w:rtl w:val="0"/>
        </w:rPr>
        <w:t xml:space="preserve">dodaje dr Tomasz Marcysiak.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Przysłowia także wzbogacają wypowiedź, sprawiają, że jest bardziej trafna i pokazują, że mówiący ma szerokie horyzonty. Ponadto przekaz staje się atrakcyjniejszy dla słuchacza. </w:t>
      </w:r>
      <w:r w:rsidDel="00000000" w:rsidR="00000000" w:rsidRPr="00000000">
        <w:rPr>
          <w:rtl w:val="0"/>
        </w:rPr>
        <w:t xml:space="preserve">Czasem powiedzenia używane są tak często w codziennych sytuacjach, że gubimy właściwe znaczenie danego zwrotu. Interpretujemy je źle, więc rozmówca do końca nie jest w stanie odczytać naszej intencji.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Które przysłowia źle rozumiemy lub używamy błędnie?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„Nie wchodzi się dwa razy do tej samej rzeki</w:t>
      </w:r>
      <w:r w:rsidDel="00000000" w:rsidR="00000000" w:rsidRPr="00000000">
        <w:rPr>
          <w:rtl w:val="0"/>
        </w:rPr>
        <w:t xml:space="preserve">” – część osób interpretuje to powiedzenie w taki sposób, że nie warto wracać do np. zakończonego kiedyś związku, wcześniejszej pracy. W rzeczywistości powiedzenie to oznacza, że „rzeka nigdy nie będzie taka sama” – wszystko się zmienia, wszystko płynie.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„Bogiem a prawdą”</w:t>
      </w:r>
      <w:r w:rsidDel="00000000" w:rsidR="00000000" w:rsidRPr="00000000">
        <w:rPr>
          <w:rtl w:val="0"/>
        </w:rPr>
        <w:t xml:space="preserve"> – często wplątywane jest pomiędzy te wyrazy słowo „między”, w rzeczywistości jednak „Bóg = prawda”, co rozumiemy jako „mówiąc szczerze”, „prawdę mówiąc”. Mówiący zapewnia o tym, że kieruje się prawdą, powołując się na Boga.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„Pieniądze nie śmierdzą” </w:t>
      </w:r>
      <w:r w:rsidDel="00000000" w:rsidR="00000000" w:rsidRPr="00000000">
        <w:rPr>
          <w:rtl w:val="0"/>
        </w:rPr>
        <w:t xml:space="preserve"> –  to sformułowanie nie oznacza, jak niektórzy sądzą, że z chęcią przyjmiemy każdą ilość pieniędzy. Powiedzenie mówi, że nieistotne jest źródło zarobku, a sam zarobek. Autor tego zwrotu, rzymski cesarz Wespazjan, zademonstrował to swoimi działaniami – w czasie kryzysu finansowego opodatkował publiczne toalety.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Przysłowia w innych językach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Także</w:t>
      </w:r>
      <w:r w:rsidDel="00000000" w:rsidR="00000000" w:rsidRPr="00000000">
        <w:rPr>
          <w:rtl w:val="0"/>
        </w:rPr>
        <w:t xml:space="preserve"> w innych krajach wypowiedzi są urozmaicane ciekawymi zwrotami. </w:t>
      </w:r>
      <w:r w:rsidDel="00000000" w:rsidR="00000000" w:rsidRPr="00000000">
        <w:rPr>
          <w:b w:val="1"/>
          <w:rtl w:val="0"/>
        </w:rPr>
        <w:t xml:space="preserve">Nie próbujmy ich jednak dosłownie tłumaczyć na nasz język!</w:t>
      </w:r>
      <w:r w:rsidDel="00000000" w:rsidR="00000000" w:rsidRPr="00000000">
        <w:rPr>
          <w:rtl w:val="0"/>
        </w:rPr>
        <w:t xml:space="preserve"> Na dane powiedzenie bardzo często wpływa kultura, region, tradycja oraz historia, więc przekładanie ich na inny język często gubi sens. </w:t>
      </w:r>
      <w:r w:rsidDel="00000000" w:rsidR="00000000" w:rsidRPr="00000000">
        <w:rPr>
          <w:highlight w:val="white"/>
          <w:rtl w:val="0"/>
        </w:rPr>
        <w:t xml:space="preserve">Podobnie wygląda </w:t>
      </w:r>
      <w:r w:rsidDel="00000000" w:rsidR="00000000" w:rsidRPr="00000000">
        <w:rPr>
          <w:highlight w:val="white"/>
          <w:rtl w:val="0"/>
        </w:rPr>
        <w:t xml:space="preserve">to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także w przypadku „zwykłych” zdań i sformułowań niebędących przysłowiem. – </w:t>
      </w:r>
      <w:r w:rsidDel="00000000" w:rsidR="00000000" w:rsidRPr="00000000">
        <w:rPr>
          <w:i w:val="1"/>
          <w:highlight w:val="white"/>
          <w:rtl w:val="0"/>
        </w:rPr>
        <w:t xml:space="preserve">Bardzo częstym błędem podczas nauki języka obcego są tak zwane kalki językowe, czyli dosłowne tłumaczenie danych zwrotów. Część z nich swobodnie używamy, a są niepoprawne. Przykładem jest zwrot „dedicated to” (przeznaczony dla..., skierowany dla...). W języku polskim niektórzy tłumaczą „dedykowany dla… np. przedsiębiorców, profesjonalistów”. Jest to błąd i typowa kalka językowa zarazem –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tłumaczy Katarzyna Grabiec-Clark, ekspertka językowa z Babbel.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W przypadku przysłów mamy do czynienia z całym zdaniem i to jeszcze niosącym dodatkowy sens bądź morał. Dlatego też jedno słowo może sprawić, że rozmówca nas nie zrozumie. </w:t>
      </w:r>
      <w:r w:rsidDel="00000000" w:rsidR="00000000" w:rsidRPr="00000000">
        <w:rPr>
          <w:b w:val="1"/>
          <w:rtl w:val="0"/>
        </w:rPr>
        <w:t xml:space="preserve">Prezentujemy kilka powiedzeń w języku angielskim i niemieckim, które brzmią inaczej niż polskie, a ich sens jest bardzo zbliżony: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W marcu jak w garncu</w:t>
      </w:r>
      <w:r w:rsidDel="00000000" w:rsidR="00000000" w:rsidRPr="00000000">
        <w:rPr>
          <w:rtl w:val="0"/>
        </w:rPr>
        <w:t xml:space="preserve">” czyli „</w:t>
      </w:r>
      <w:r w:rsidDel="00000000" w:rsidR="00000000" w:rsidRPr="00000000">
        <w:rPr>
          <w:i w:val="1"/>
          <w:rtl w:val="0"/>
        </w:rPr>
        <w:t xml:space="preserve">March comes in like a lion, and goes out like a lamb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12">
      <w:pPr>
        <w:spacing w:after="0" w:before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dosłowne tłumaczenie: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Marzec przychodzi jak lew i wychodzi jak baranek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Kłamstwo ma krótkie nogi</w:t>
      </w:r>
      <w:r w:rsidDel="00000000" w:rsidR="00000000" w:rsidRPr="00000000">
        <w:rPr>
          <w:i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czyli </w:t>
      </w:r>
      <w:r w:rsidDel="00000000" w:rsidR="00000000" w:rsidRPr="00000000">
        <w:rPr>
          <w:i w:val="1"/>
          <w:rtl w:val="0"/>
        </w:rPr>
        <w:t xml:space="preserve">„A lie has no legs”</w:t>
      </w:r>
    </w:p>
    <w:p w:rsidR="00000000" w:rsidDel="00000000" w:rsidP="00000000" w:rsidRDefault="00000000" w:rsidRPr="00000000" w14:paraId="00000014">
      <w:pPr>
        <w:spacing w:after="0" w:before="0" w:line="276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dosłowne tłumaczenie:</w:t>
      </w:r>
      <w:r w:rsidDel="00000000" w:rsidR="00000000" w:rsidRPr="00000000">
        <w:rPr>
          <w:i w:val="1"/>
          <w:rtl w:val="0"/>
        </w:rPr>
        <w:t xml:space="preserve"> „Kłamstwo nie ma nóg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Kiedy wejdziesz między wrony zaczniesz krakać tak jak one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czyli</w:t>
      </w:r>
      <w:r w:rsidDel="00000000" w:rsidR="00000000" w:rsidRPr="00000000">
        <w:rPr>
          <w:i w:val="1"/>
          <w:rtl w:val="0"/>
        </w:rPr>
        <w:t xml:space="preserve"> „When in Rome do as the Romans do”</w:t>
      </w:r>
    </w:p>
    <w:p w:rsidR="00000000" w:rsidDel="00000000" w:rsidP="00000000" w:rsidRDefault="00000000" w:rsidRPr="00000000" w14:paraId="00000016">
      <w:pPr>
        <w:spacing w:after="0" w:before="0" w:line="276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dosłowne tłumaczenie: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Będąc w Rzymie, czyń jak Rzymianie"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Mądry Polak po szkodzie</w:t>
      </w:r>
      <w:r w:rsidDel="00000000" w:rsidR="00000000" w:rsidRPr="00000000">
        <w:rPr>
          <w:rtl w:val="0"/>
        </w:rPr>
        <w:t xml:space="preserve">" czyli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Durch Schaden wird man klug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18">
      <w:pPr>
        <w:spacing w:after="0" w:before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dosłowne tłumaczenie: "Przez błędy, człowiek staje się mądry."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Co z oczu to z serca"</w:t>
      </w:r>
      <w:r w:rsidDel="00000000" w:rsidR="00000000" w:rsidRPr="00000000">
        <w:rPr>
          <w:rtl w:val="0"/>
        </w:rPr>
        <w:t xml:space="preserve"> czyli „</w:t>
      </w:r>
      <w:r w:rsidDel="00000000" w:rsidR="00000000" w:rsidRPr="00000000">
        <w:rPr>
          <w:i w:val="1"/>
          <w:rtl w:val="0"/>
        </w:rPr>
        <w:t xml:space="preserve">Aus dem Augen, aus dem Sinn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1A">
      <w:pPr>
        <w:spacing w:after="0" w:before="0" w:line="276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dosłowne tłumaczenie: „</w:t>
      </w:r>
      <w:r w:rsidDel="00000000" w:rsidR="00000000" w:rsidRPr="00000000">
        <w:rPr>
          <w:i w:val="1"/>
          <w:rtl w:val="0"/>
        </w:rPr>
        <w:t xml:space="preserve">Co z oczu to z myśli."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b w:val="1"/>
          <w:i w:val="1"/>
          <w:rtl w:val="0"/>
        </w:rPr>
        <w:t xml:space="preserve">Cicha woda brzegi rwie</w:t>
      </w:r>
      <w:r w:rsidDel="00000000" w:rsidR="00000000" w:rsidRPr="00000000">
        <w:rPr>
          <w:rtl w:val="0"/>
        </w:rPr>
        <w:t xml:space="preserve">" czyli „</w:t>
      </w:r>
      <w:r w:rsidDel="00000000" w:rsidR="00000000" w:rsidRPr="00000000">
        <w:rPr>
          <w:i w:val="1"/>
          <w:rtl w:val="0"/>
        </w:rPr>
        <w:t xml:space="preserve">Stille Wasser sind tief</w:t>
      </w:r>
      <w:r w:rsidDel="00000000" w:rsidR="00000000" w:rsidRPr="00000000">
        <w:rPr>
          <w:rtl w:val="0"/>
        </w:rPr>
        <w:t xml:space="preserve">"</w:t>
      </w:r>
    </w:p>
    <w:p w:rsidR="00000000" w:rsidDel="00000000" w:rsidP="00000000" w:rsidRDefault="00000000" w:rsidRPr="00000000" w14:paraId="0000001C">
      <w:pPr>
        <w:spacing w:after="0" w:before="0" w:line="276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dosłowne tłumaczenie: „</w:t>
      </w:r>
      <w:r w:rsidDel="00000000" w:rsidR="00000000" w:rsidRPr="00000000">
        <w:rPr>
          <w:i w:val="1"/>
          <w:rtl w:val="0"/>
        </w:rPr>
        <w:t xml:space="preserve">Ciche wody są głębokie.”</w:t>
      </w:r>
    </w:p>
    <w:p w:rsidR="00000000" w:rsidDel="00000000" w:rsidP="00000000" w:rsidRDefault="00000000" w:rsidRPr="00000000" w14:paraId="0000001D">
      <w:pPr>
        <w:spacing w:after="0" w:before="0" w:line="276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Jak to mawia polskie przysłowie: „Co kraj, to obyczaj”. Dlatego też powiedzenia należy traktować jako część tradycji narodowej i, jeśli nie mamy pewności co do ich znaczenia, nie używać ich w nadmiarze. Bowiem, chcąc wypaść lepiej, możemy uzyskać odwrotny skutek!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***</w:t>
      </w:r>
    </w:p>
    <w:p w:rsidR="00000000" w:rsidDel="00000000" w:rsidP="00000000" w:rsidRDefault="00000000" w:rsidRPr="00000000" w14:paraId="00000022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O Babbel</w:t>
      </w:r>
    </w:p>
    <w:p w:rsidR="00000000" w:rsidDel="00000000" w:rsidP="00000000" w:rsidRDefault="00000000" w:rsidRPr="00000000" w14:paraId="00000024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Babbel – aplikacja, która sprawi, że poczujesz się swobodnie, mówiąc w innym języku: 73% ankietowanych użytkowników potwierdza, że potrafi przeprowadzić prostą rozmowę w innym języku już po pięciu godzinach nauki. Kursy językowe są dostępne na stronie internetowej oraz w formie aplikacji na urządzenia mobilne z systemem Android i iOS, umożliwiając naukę 14 języków w 8 językach wyświetlania. W polskiej wersji językowej dostępne są obecnie kursy angielskiego i niemieckiego. Kompaktowe lekcje trwają zaledwie 10-15 minut, dzięki czemu są odpowiednią formą nauki nawet dla najbardziej zabieganych. Lekcje tworzone są przez zespół dydaktyków i ekspertów językowych i dotyczą tematów z życia wziętych, od przedstawiania się po zamawianie jedzenia i komunikację w podróży.</w:t>
      </w:r>
    </w:p>
    <w:p w:rsidR="00000000" w:rsidDel="00000000" w:rsidP="00000000" w:rsidRDefault="00000000" w:rsidRPr="00000000" w14:paraId="00000026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Firma Babbel została założona w 2007 roku przez Markusa Witte (Executive Chairman of the Board)) i Thomasa Holla (Chief Technology Officer). Obecnie zespół liczy ponad 700 osób pochodzących z ponad 50 krajów, pracujących w biurach w Berlinie i Nowym Jorku. Przejrzysty model biznesowy oparty na subskrypcji i tym samym rezygnacji z reklam pozwala uczącym się skupić się na efektywnej nauce języka. Aktualnie z aplikacji Babbel korzystają miliony aktywnych użytkowników.</w:t>
      </w:r>
    </w:p>
    <w:p w:rsidR="00000000" w:rsidDel="00000000" w:rsidP="00000000" w:rsidRDefault="00000000" w:rsidRPr="00000000" w14:paraId="00000028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Więcej informacji na: </w:t>
      </w:r>
      <w:hyperlink r:id="rId7">
        <w:r w:rsidDel="00000000" w:rsidR="00000000" w:rsidRPr="00000000">
          <w:rPr>
            <w:color w:val="0563c1"/>
            <w:sz w:val="16"/>
            <w:szCs w:val="16"/>
            <w:u w:val="single"/>
            <w:rtl w:val="0"/>
          </w:rPr>
          <w:t xml:space="preserve">www.babbel.com</w:t>
        </w:r>
      </w:hyperlink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dla mediów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Izabela Grzelak</w:t>
      </w:r>
    </w:p>
    <w:p w:rsidR="00000000" w:rsidDel="00000000" w:rsidP="00000000" w:rsidRDefault="00000000" w:rsidRPr="00000000" w14:paraId="0000002F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Manager</w:t>
      </w:r>
    </w:p>
    <w:p w:rsidR="00000000" w:rsidDel="00000000" w:rsidP="00000000" w:rsidRDefault="00000000" w:rsidRPr="00000000" w14:paraId="00000030">
      <w:pPr>
        <w:spacing w:line="240" w:lineRule="auto"/>
        <w:jc w:val="right"/>
        <w:rPr>
          <w:sz w:val="20"/>
          <w:szCs w:val="20"/>
        </w:rPr>
      </w:pP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Izabela.grzelak@dotrelations.pl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663 010 011</w:t>
      </w:r>
    </w:p>
    <w:sectPr>
      <w:headerReference r:id="rId9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076643" cy="23475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babbel.com" TargetMode="External"/><Relationship Id="rId8" Type="http://schemas.openxmlformats.org/officeDocument/2006/relationships/hyperlink" Target="mailto:Izabela.grzelak@dotrelations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