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666224A8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>,</w:t>
      </w:r>
      <w:r w:rsidR="000D3024">
        <w:rPr>
          <w:rFonts w:ascii="Calibri" w:hAnsi="Calibri" w:cs="Calibri"/>
          <w:color w:val="000000" w:themeColor="text1"/>
        </w:rPr>
        <w:t xml:space="preserve"> </w:t>
      </w:r>
      <w:r w:rsidR="00912C0D">
        <w:rPr>
          <w:rFonts w:ascii="Calibri" w:hAnsi="Calibri" w:cs="Calibri"/>
          <w:color w:val="000000" w:themeColor="text1"/>
        </w:rPr>
        <w:t>6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DC208D">
        <w:rPr>
          <w:rFonts w:ascii="Calibri" w:hAnsi="Calibri" w:cs="Calibri"/>
          <w:color w:val="000000" w:themeColor="text1"/>
        </w:rPr>
        <w:t>grudnia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E33DEA">
        <w:rPr>
          <w:rFonts w:ascii="Calibri" w:hAnsi="Calibri" w:cs="Calibri"/>
          <w:color w:val="000000" w:themeColor="text1"/>
        </w:rPr>
        <w:t>3</w:t>
      </w:r>
    </w:p>
    <w:p w14:paraId="61EB4B35" w14:textId="763EB412" w:rsidR="00546036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Pr="00F92A60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3F41AC4C" w14:textId="76CDA5DC" w:rsidR="003A3950" w:rsidRPr="002225CB" w:rsidRDefault="009650DB" w:rsidP="00FB047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ETC</w:t>
      </w:r>
      <w:r w:rsidR="00DC208D">
        <w:rPr>
          <w:rFonts w:asciiTheme="minorHAnsi" w:hAnsiTheme="minorHAnsi" w:cstheme="minorHAnsi"/>
          <w:b/>
          <w:sz w:val="28"/>
          <w:szCs w:val="28"/>
        </w:rPr>
        <w:t xml:space="preserve"> Swarzędz zaprasza na spotkanie z Mikołajem</w:t>
      </w:r>
      <w:r>
        <w:rPr>
          <w:rFonts w:asciiTheme="minorHAnsi" w:hAnsiTheme="minorHAnsi" w:cstheme="minorHAnsi"/>
          <w:b/>
          <w:sz w:val="28"/>
          <w:szCs w:val="28"/>
        </w:rPr>
        <w:t>!</w:t>
      </w:r>
    </w:p>
    <w:p w14:paraId="09B7F6E2" w14:textId="2AC5B760" w:rsidR="00A123A4" w:rsidRPr="00FB0472" w:rsidRDefault="00DC208D" w:rsidP="00FB047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Mikołajki w ETC trwają dłużej! Swarzędzkie centrum handlowe na spotkanie ze Świętym Mikołajem zaprasza w sobotę, 9 grudnia. Niezapomniane chwile z ukochanym brodaczem będzie można uwiecznić na zdjęciu, a na słodkie warsztaty zaproszą urocze elfy, a wszystko to w magicznej, bajkowej atmosferze. </w:t>
      </w:r>
    </w:p>
    <w:p w14:paraId="026EE603" w14:textId="77777777" w:rsidR="00382CEB" w:rsidRPr="00FB0472" w:rsidRDefault="00382CEB" w:rsidP="00FB047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08CFE29" w14:textId="424AD685" w:rsidR="00DE7521" w:rsidRDefault="00DC208D" w:rsidP="00533B8F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Zaczął się najpiękniejszy czas w roku – oczekiwanie na Święta Bożego Narodzenia. ETC Swarzędz zaprasza do wspólnego odliczania do tych wyjątkowych dni. </w:t>
      </w:r>
      <w:r w:rsidRPr="00DC208D">
        <w:rPr>
          <w:rFonts w:asciiTheme="minorHAnsi" w:eastAsiaTheme="minorHAnsi" w:hAnsiTheme="minorHAnsi" w:cstheme="minorHAnsi"/>
          <w:b/>
          <w:bCs/>
          <w:lang w:eastAsia="en-US"/>
        </w:rPr>
        <w:t xml:space="preserve">W sobotę, 9 grudnia, </w:t>
      </w:r>
      <w:r w:rsidRPr="00DC208D">
        <w:rPr>
          <w:rFonts w:asciiTheme="minorHAnsi" w:eastAsiaTheme="minorHAnsi" w:hAnsiTheme="minorHAnsi" w:cstheme="minorHAnsi"/>
          <w:lang w:eastAsia="en-US"/>
        </w:rPr>
        <w:t>centrum handlowe zamieni się w mikołajkową krainę wprost z dalekiej Laponii, a na dzieci</w:t>
      </w:r>
      <w:r w:rsidR="00306F79">
        <w:rPr>
          <w:rFonts w:asciiTheme="minorHAnsi" w:eastAsiaTheme="minorHAnsi" w:hAnsiTheme="minorHAnsi" w:cstheme="minorHAnsi"/>
          <w:lang w:eastAsia="en-US"/>
        </w:rPr>
        <w:t xml:space="preserve"> przy głównym wejściu do galerii </w:t>
      </w:r>
      <w:r w:rsidRPr="00DC208D">
        <w:rPr>
          <w:rFonts w:asciiTheme="minorHAnsi" w:eastAsiaTheme="minorHAnsi" w:hAnsiTheme="minorHAnsi" w:cstheme="minorHAnsi"/>
          <w:lang w:eastAsia="en-US"/>
        </w:rPr>
        <w:t>w swoim wielkim czerwonym fotelu</w:t>
      </w:r>
      <w:r w:rsidRPr="00DC208D">
        <w:rPr>
          <w:rFonts w:asciiTheme="minorHAnsi" w:eastAsiaTheme="minorHAnsi" w:hAnsiTheme="minorHAnsi" w:cstheme="minorHAnsi"/>
          <w:b/>
          <w:bCs/>
          <w:lang w:eastAsia="en-US"/>
        </w:rPr>
        <w:t xml:space="preserve"> czekać będzie Święty Mikołaj. </w:t>
      </w:r>
      <w:r>
        <w:rPr>
          <w:rFonts w:asciiTheme="minorHAnsi" w:eastAsiaTheme="minorHAnsi" w:hAnsiTheme="minorHAnsi" w:cstheme="minorHAnsi"/>
          <w:lang w:eastAsia="en-US"/>
        </w:rPr>
        <w:t xml:space="preserve">Milusińscy będą mieli okazję wyszeptać mu na ucho swoje prezentowe marzenia, a wspólne chwile uwieczni profesjonalny fotograf. Zdjęcia wykonywane będą dla chętnych, bezpłatnie. </w:t>
      </w:r>
    </w:p>
    <w:p w14:paraId="749B3D57" w14:textId="77777777" w:rsidR="00DC208D" w:rsidRDefault="00DC208D" w:rsidP="00533B8F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EC336DB" w14:textId="15C0CE97" w:rsidR="00DC208D" w:rsidRDefault="00DC208D" w:rsidP="00DC208D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To jednak nie jedyna atrakcja tego dnia. </w:t>
      </w:r>
      <w:r w:rsidRPr="00DC208D">
        <w:rPr>
          <w:rFonts w:asciiTheme="minorHAnsi" w:eastAsiaTheme="minorHAnsi" w:hAnsiTheme="minorHAnsi" w:cstheme="minorHAnsi"/>
          <w:b/>
          <w:bCs/>
          <w:lang w:eastAsia="en-US"/>
        </w:rPr>
        <w:t>W godzinach</w:t>
      </w:r>
      <w:r w:rsidR="003174AA">
        <w:rPr>
          <w:rFonts w:asciiTheme="minorHAnsi" w:eastAsiaTheme="minorHAnsi" w:hAnsiTheme="minorHAnsi" w:cstheme="minorHAnsi"/>
          <w:b/>
          <w:bCs/>
          <w:lang w:eastAsia="en-US"/>
        </w:rPr>
        <w:t xml:space="preserve"> 12:00 – 17:00</w:t>
      </w:r>
      <w:r>
        <w:rPr>
          <w:rFonts w:asciiTheme="minorHAnsi" w:eastAsiaTheme="minorHAnsi" w:hAnsiTheme="minorHAnsi" w:cstheme="minorHAnsi"/>
          <w:b/>
          <w:bCs/>
          <w:lang w:eastAsia="en-US"/>
        </w:rPr>
        <w:t>, w świątecznej strefie,</w:t>
      </w:r>
      <w:r w:rsidRPr="00DC208D">
        <w:rPr>
          <w:rFonts w:asciiTheme="minorHAnsi" w:eastAsiaTheme="minorHAnsi" w:hAnsiTheme="minorHAnsi" w:cstheme="minorHAnsi"/>
          <w:b/>
          <w:bCs/>
          <w:lang w:eastAsia="en-US"/>
        </w:rPr>
        <w:t xml:space="preserve"> odbywać się będą słodkie warsztaty dla dzieci i rodziców</w:t>
      </w:r>
      <w:r w:rsidR="00306F79">
        <w:rPr>
          <w:rFonts w:asciiTheme="minorHAnsi" w:eastAsiaTheme="minorHAnsi" w:hAnsiTheme="minorHAnsi" w:cstheme="minorHAnsi"/>
          <w:b/>
          <w:bCs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lang w:eastAsia="en-US"/>
        </w:rPr>
        <w:t>Ekipa elfów pomoże uczestnikom stworzyć wyjątkowe „cake popsy”. Dekorowanie ciastek kolorowymi cukierkami, polewami i posypkami pozwoli stworzyć zimowe postacie, jak bałwanki czy renifery. Ciasteczka będą na bieżąco wypiekane na osobnym stanowisku, więc także będzie można zabrać je do domu.</w:t>
      </w:r>
      <w:r w:rsidR="00306F79">
        <w:rPr>
          <w:rFonts w:asciiTheme="minorHAnsi" w:eastAsiaTheme="minorHAnsi" w:hAnsiTheme="minorHAnsi" w:cstheme="minorHAnsi"/>
          <w:lang w:eastAsia="en-US"/>
        </w:rPr>
        <w:t xml:space="preserve"> W</w:t>
      </w:r>
      <w:r w:rsidR="00306F79" w:rsidRPr="00306F79">
        <w:rPr>
          <w:rFonts w:asciiTheme="minorHAnsi" w:eastAsiaTheme="minorHAnsi" w:hAnsiTheme="minorHAnsi" w:cstheme="minorHAnsi"/>
          <w:lang w:eastAsia="en-US"/>
        </w:rPr>
        <w:t>arsztaty kulinarne współorganizowane są przez restaurację Olimp</w:t>
      </w:r>
      <w:r w:rsidR="00306F79">
        <w:rPr>
          <w:rFonts w:asciiTheme="minorHAnsi" w:eastAsiaTheme="minorHAnsi" w:hAnsiTheme="minorHAnsi" w:cstheme="minorHAnsi"/>
          <w:lang w:eastAsia="en-US"/>
        </w:rPr>
        <w:t xml:space="preserve">, </w:t>
      </w:r>
      <w:r w:rsidR="00306F79" w:rsidRPr="00306F79">
        <w:rPr>
          <w:rFonts w:asciiTheme="minorHAnsi" w:eastAsiaTheme="minorHAnsi" w:hAnsiTheme="minorHAnsi" w:cstheme="minorHAnsi"/>
          <w:lang w:eastAsia="en-US"/>
        </w:rPr>
        <w:t>strefa warsztatowa</w:t>
      </w:r>
      <w:r w:rsidR="00306F79">
        <w:rPr>
          <w:rFonts w:asciiTheme="minorHAnsi" w:eastAsiaTheme="minorHAnsi" w:hAnsiTheme="minorHAnsi" w:cstheme="minorHAnsi"/>
          <w:lang w:eastAsia="en-US"/>
        </w:rPr>
        <w:t xml:space="preserve"> zlokalizowana będzie w okolicach lokalu. </w:t>
      </w:r>
    </w:p>
    <w:p w14:paraId="7ED341CD" w14:textId="77777777" w:rsidR="00DC208D" w:rsidRDefault="00DC208D" w:rsidP="00DC208D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E8D3E1D" w14:textId="3426CE66" w:rsidR="00DC208D" w:rsidRDefault="00DC208D" w:rsidP="00DC208D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Zapraszamy do wspólnej świątecznej zabawy! ETC Swarzędz, ul. Poznańska 6, sobota, 9 grudnia, start o godz</w:t>
      </w:r>
      <w:r w:rsidR="003174AA">
        <w:rPr>
          <w:rFonts w:asciiTheme="minorHAnsi" w:hAnsiTheme="minorHAnsi" w:cstheme="minorHAnsi"/>
          <w:bCs/>
        </w:rPr>
        <w:t xml:space="preserve">inie 12:00. </w:t>
      </w:r>
    </w:p>
    <w:p w14:paraId="671E2AD5" w14:textId="77777777" w:rsidR="00DE7521" w:rsidRDefault="00DE7521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8A9716" w14:textId="77777777" w:rsidR="00BE0404" w:rsidRPr="00D03C54" w:rsidRDefault="00BE0404" w:rsidP="00BE040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37D2FBA9" w14:textId="77777777" w:rsidR="00BE0404" w:rsidRDefault="00BE0404" w:rsidP="00BE0404">
      <w:pPr>
        <w:jc w:val="both"/>
        <w:rPr>
          <w:rFonts w:ascii="Calibri" w:hAnsi="Calibri" w:cs="Calibri"/>
          <w:color w:val="000000" w:themeColor="text1"/>
        </w:rPr>
      </w:pPr>
    </w:p>
    <w:p w14:paraId="3BEE9F66" w14:textId="7B0BCC40" w:rsidR="00750C0F" w:rsidRPr="00DC208D" w:rsidRDefault="00BE0404" w:rsidP="00DC208D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relaksu i wypoczynku. Przed centrum znajduje się parking, na którym mieści się 1100 pojazdów, przygotowane zostały także stojaki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lastRenderedPageBreak/>
        <w:t>i miejsca postojowe dla rowerzystów. Obiekt jest również w pełni dostosowany do potrzeb rodzin z dziećmi oraz osób o ograniczonej sprawności ruchowej. ETC Swarzędz to tętniące życiem miejsce zakupów, relaksu i spotkań</w:t>
      </w:r>
      <w:r>
        <w:rPr>
          <w:rFonts w:asciiTheme="minorHAnsi" w:hAnsiTheme="minorHAnsi" w:cstheme="minorHAnsi"/>
          <w:color w:val="050505"/>
          <w:sz w:val="22"/>
          <w:szCs w:val="22"/>
        </w:rPr>
        <w:t>.</w:t>
      </w:r>
    </w:p>
    <w:p w14:paraId="070A9BDE" w14:textId="77777777" w:rsidR="00F92A60" w:rsidRDefault="00F92A60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</w:p>
    <w:p w14:paraId="5EE13552" w14:textId="3370BCE0" w:rsidR="00A04DFB" w:rsidRPr="00C83A39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7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E4F6" w14:textId="77777777" w:rsidR="004420E8" w:rsidRDefault="004420E8" w:rsidP="004E66B4">
      <w:r>
        <w:separator/>
      </w:r>
    </w:p>
  </w:endnote>
  <w:endnote w:type="continuationSeparator" w:id="0">
    <w:p w14:paraId="63A220A6" w14:textId="77777777" w:rsidR="004420E8" w:rsidRDefault="004420E8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0441" w14:textId="77777777" w:rsidR="004420E8" w:rsidRDefault="004420E8" w:rsidP="004E66B4">
      <w:r>
        <w:separator/>
      </w:r>
    </w:p>
  </w:footnote>
  <w:footnote w:type="continuationSeparator" w:id="0">
    <w:p w14:paraId="65A08FFB" w14:textId="77777777" w:rsidR="004420E8" w:rsidRDefault="004420E8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305F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7DDC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B7755"/>
    <w:rsid w:val="000C0C8A"/>
    <w:rsid w:val="000C0CD3"/>
    <w:rsid w:val="000C10B7"/>
    <w:rsid w:val="000C778B"/>
    <w:rsid w:val="000D196A"/>
    <w:rsid w:val="000D2C45"/>
    <w:rsid w:val="000D3024"/>
    <w:rsid w:val="000D6136"/>
    <w:rsid w:val="000E10DC"/>
    <w:rsid w:val="000E25DB"/>
    <w:rsid w:val="000E4AF2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25CB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52CE8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6880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06F79"/>
    <w:rsid w:val="00311413"/>
    <w:rsid w:val="00311840"/>
    <w:rsid w:val="00313F6F"/>
    <w:rsid w:val="00315BC4"/>
    <w:rsid w:val="00316681"/>
    <w:rsid w:val="00316FF4"/>
    <w:rsid w:val="003174AA"/>
    <w:rsid w:val="00321F3F"/>
    <w:rsid w:val="0033144E"/>
    <w:rsid w:val="00340562"/>
    <w:rsid w:val="0034091A"/>
    <w:rsid w:val="00342D31"/>
    <w:rsid w:val="0034452C"/>
    <w:rsid w:val="00352B4C"/>
    <w:rsid w:val="00354B17"/>
    <w:rsid w:val="0035749E"/>
    <w:rsid w:val="00362B70"/>
    <w:rsid w:val="003635BC"/>
    <w:rsid w:val="00365A90"/>
    <w:rsid w:val="00370CDF"/>
    <w:rsid w:val="00373054"/>
    <w:rsid w:val="003764DA"/>
    <w:rsid w:val="003802C1"/>
    <w:rsid w:val="003810A7"/>
    <w:rsid w:val="00382CEB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B92"/>
    <w:rsid w:val="004364BA"/>
    <w:rsid w:val="004372EC"/>
    <w:rsid w:val="004420E8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473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5984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D72A3"/>
    <w:rsid w:val="007E187C"/>
    <w:rsid w:val="007E3735"/>
    <w:rsid w:val="007E649D"/>
    <w:rsid w:val="007F5DA6"/>
    <w:rsid w:val="00800A0E"/>
    <w:rsid w:val="00800D13"/>
    <w:rsid w:val="008019A1"/>
    <w:rsid w:val="0080593B"/>
    <w:rsid w:val="00806FC2"/>
    <w:rsid w:val="00810509"/>
    <w:rsid w:val="00810C9B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1F14"/>
    <w:rsid w:val="008C4C21"/>
    <w:rsid w:val="008C5E45"/>
    <w:rsid w:val="008C7DF1"/>
    <w:rsid w:val="008D390D"/>
    <w:rsid w:val="008D44A4"/>
    <w:rsid w:val="008D5919"/>
    <w:rsid w:val="008D7103"/>
    <w:rsid w:val="008D724F"/>
    <w:rsid w:val="008E24A0"/>
    <w:rsid w:val="008E3E35"/>
    <w:rsid w:val="008E68E2"/>
    <w:rsid w:val="008F1299"/>
    <w:rsid w:val="008F3A99"/>
    <w:rsid w:val="008F5AA4"/>
    <w:rsid w:val="008F7D91"/>
    <w:rsid w:val="00903CB4"/>
    <w:rsid w:val="00912C0D"/>
    <w:rsid w:val="0091398F"/>
    <w:rsid w:val="0092040E"/>
    <w:rsid w:val="0092055F"/>
    <w:rsid w:val="00921AF8"/>
    <w:rsid w:val="00923E6A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50DB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06D8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E23B1"/>
    <w:rsid w:val="00AF28BB"/>
    <w:rsid w:val="00AF3A24"/>
    <w:rsid w:val="00AF3C23"/>
    <w:rsid w:val="00AF5E60"/>
    <w:rsid w:val="00B009D1"/>
    <w:rsid w:val="00B01C1B"/>
    <w:rsid w:val="00B0669C"/>
    <w:rsid w:val="00B102BE"/>
    <w:rsid w:val="00B10C4B"/>
    <w:rsid w:val="00B11342"/>
    <w:rsid w:val="00B146B0"/>
    <w:rsid w:val="00B153B5"/>
    <w:rsid w:val="00B33006"/>
    <w:rsid w:val="00B33D8A"/>
    <w:rsid w:val="00B35F4B"/>
    <w:rsid w:val="00B36C91"/>
    <w:rsid w:val="00B43C8A"/>
    <w:rsid w:val="00B47303"/>
    <w:rsid w:val="00B52165"/>
    <w:rsid w:val="00B54994"/>
    <w:rsid w:val="00B613E8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0404"/>
    <w:rsid w:val="00BE41AA"/>
    <w:rsid w:val="00BE6AE0"/>
    <w:rsid w:val="00BE6EB1"/>
    <w:rsid w:val="00BF0B45"/>
    <w:rsid w:val="00BF4405"/>
    <w:rsid w:val="00C0610C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51CC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3FDB"/>
    <w:rsid w:val="00CA6EB1"/>
    <w:rsid w:val="00CA77A3"/>
    <w:rsid w:val="00CB40B7"/>
    <w:rsid w:val="00CB5668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2E7C"/>
    <w:rsid w:val="00D55DD0"/>
    <w:rsid w:val="00D579E1"/>
    <w:rsid w:val="00D6337C"/>
    <w:rsid w:val="00D64DAE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C208D"/>
    <w:rsid w:val="00DD0EBA"/>
    <w:rsid w:val="00DD5FAA"/>
    <w:rsid w:val="00DE6CDF"/>
    <w:rsid w:val="00DE7521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1F3"/>
    <w:rsid w:val="00E97A4D"/>
    <w:rsid w:val="00EA03E4"/>
    <w:rsid w:val="00EA2168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9218A"/>
    <w:rsid w:val="00F926EF"/>
    <w:rsid w:val="00F92A60"/>
    <w:rsid w:val="00F93EBF"/>
    <w:rsid w:val="00F95EC1"/>
    <w:rsid w:val="00FA08F4"/>
    <w:rsid w:val="00FA3641"/>
    <w:rsid w:val="00FA4B32"/>
    <w:rsid w:val="00FB0472"/>
    <w:rsid w:val="00FB601F"/>
    <w:rsid w:val="00FC14D5"/>
    <w:rsid w:val="00FC1D70"/>
    <w:rsid w:val="00FC45C0"/>
    <w:rsid w:val="00FD058E"/>
    <w:rsid w:val="00FD1AD7"/>
    <w:rsid w:val="00FD30A6"/>
    <w:rsid w:val="00FD3BF3"/>
    <w:rsid w:val="00FD5C4E"/>
    <w:rsid w:val="00FE088C"/>
    <w:rsid w:val="00FE2468"/>
    <w:rsid w:val="00FE3452"/>
    <w:rsid w:val="00FF0E03"/>
    <w:rsid w:val="00FF0E3C"/>
    <w:rsid w:val="00FF1CDC"/>
    <w:rsid w:val="00FF25F1"/>
    <w:rsid w:val="00FF3FB8"/>
    <w:rsid w:val="00FF5213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6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Aleksandra Kaczorowska</cp:lastModifiedBy>
  <cp:revision>6</cp:revision>
  <dcterms:created xsi:type="dcterms:W3CDTF">2023-12-04T09:15:00Z</dcterms:created>
  <dcterms:modified xsi:type="dcterms:W3CDTF">2023-12-06T09:15:00Z</dcterms:modified>
</cp:coreProperties>
</file>